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BB72" w14:textId="2CB1427D" w:rsidR="006C2498" w:rsidRPr="0072461E" w:rsidRDefault="006C2498" w:rsidP="006C2498">
      <w:pPr>
        <w:adjustRightInd w:val="0"/>
        <w:snapToGrid w:val="0"/>
        <w:spacing w:after="0" w:line="240" w:lineRule="auto"/>
        <w:jc w:val="center"/>
        <w:rPr>
          <w:b/>
          <w:iCs/>
          <w:color w:val="00998E"/>
          <w:sz w:val="28"/>
          <w:szCs w:val="28"/>
        </w:rPr>
      </w:pPr>
      <w:proofErr w:type="gramStart"/>
      <w:r w:rsidRPr="0072461E">
        <w:rPr>
          <w:b/>
          <w:iCs/>
          <w:color w:val="00998E"/>
          <w:sz w:val="28"/>
          <w:szCs w:val="28"/>
        </w:rPr>
        <w:t>59</w:t>
      </w:r>
      <w:r w:rsidRPr="0072461E">
        <w:rPr>
          <w:b/>
          <w:iCs/>
          <w:color w:val="00998E"/>
          <w:sz w:val="28"/>
          <w:szCs w:val="28"/>
          <w:vertAlign w:val="superscript"/>
        </w:rPr>
        <w:t>a</w:t>
      </w:r>
      <w:proofErr w:type="gramEnd"/>
      <w:r w:rsidRPr="0072461E">
        <w:rPr>
          <w:b/>
          <w:iCs/>
          <w:color w:val="00998E"/>
          <w:sz w:val="28"/>
          <w:szCs w:val="28"/>
        </w:rPr>
        <w:t xml:space="preserve"> GIORNATA MONDIALE DI PREGHIERA PER LE VOCAZIONI</w:t>
      </w:r>
    </w:p>
    <w:p w14:paraId="443EEA77" w14:textId="1C20474B" w:rsidR="006C2498" w:rsidRPr="0072461E" w:rsidRDefault="006C2498" w:rsidP="006C2498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404040" w:themeColor="text1" w:themeTint="BF"/>
        </w:rPr>
      </w:pPr>
      <w:r w:rsidRPr="0072461E">
        <w:rPr>
          <w:rFonts w:cs="Calibri"/>
          <w:b/>
          <w:color w:val="404040" w:themeColor="text1" w:themeTint="BF"/>
        </w:rPr>
        <w:t>Domenica 8 maggio 2021, IV di Pasqua - anno C</w:t>
      </w:r>
    </w:p>
    <w:p w14:paraId="57AF3BD9" w14:textId="77777777" w:rsidR="006C2498" w:rsidRDefault="006C2498" w:rsidP="006C2498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00497E"/>
        </w:rPr>
      </w:pPr>
    </w:p>
    <w:p w14:paraId="1D5BB62E" w14:textId="0292E030" w:rsidR="006C2498" w:rsidRPr="006C2498" w:rsidRDefault="006C2498" w:rsidP="006C2498">
      <w:pPr>
        <w:adjustRightInd w:val="0"/>
        <w:snapToGrid w:val="0"/>
        <w:spacing w:after="0" w:line="240" w:lineRule="auto"/>
        <w:jc w:val="center"/>
        <w:rPr>
          <w:rFonts w:cs="Calibri"/>
          <w:b/>
          <w:color w:val="00497E"/>
          <w:sz w:val="28"/>
          <w:szCs w:val="28"/>
        </w:rPr>
      </w:pPr>
      <w:r w:rsidRPr="006C2498">
        <w:rPr>
          <w:rFonts w:cs="Calibri"/>
          <w:b/>
          <w:color w:val="00497E"/>
          <w:sz w:val="28"/>
          <w:szCs w:val="28"/>
        </w:rPr>
        <w:t>SPUNTI PER LA PREPARAZIONE DELL’OMELIA</w:t>
      </w:r>
    </w:p>
    <w:p w14:paraId="0CB1B515" w14:textId="430D0DDE" w:rsidR="00740130" w:rsidRDefault="00767D13" w:rsidP="006C2498">
      <w:pPr>
        <w:adjustRightInd w:val="0"/>
        <w:snapToGrid w:val="0"/>
        <w:spacing w:after="0" w:line="240" w:lineRule="auto"/>
        <w:jc w:val="right"/>
        <w:rPr>
          <w:i/>
          <w:iCs/>
          <w:color w:val="000000" w:themeColor="text1"/>
        </w:rPr>
      </w:pPr>
    </w:p>
    <w:p w14:paraId="4B0F97D3" w14:textId="52A0E6E3" w:rsidR="006C2498" w:rsidRPr="00A35870" w:rsidRDefault="00A35870" w:rsidP="00A35870">
      <w:pPr>
        <w:adjustRightInd w:val="0"/>
        <w:snapToGrid w:val="0"/>
        <w:spacing w:after="0" w:line="240" w:lineRule="auto"/>
        <w:jc w:val="center"/>
        <w:rPr>
          <w:i/>
          <w:iCs/>
          <w:color w:val="000000" w:themeColor="text1"/>
        </w:rPr>
      </w:pPr>
      <w:r w:rsidRPr="00A35870">
        <w:rPr>
          <w:i/>
          <w:iCs/>
          <w:color w:val="000000" w:themeColor="text1"/>
        </w:rPr>
        <w:t>«Le mie pecore ascoltano la mia voce e io le conosco ed esse mi seguono»</w:t>
      </w:r>
      <w:r>
        <w:rPr>
          <w:i/>
          <w:iCs/>
          <w:color w:val="000000" w:themeColor="text1"/>
        </w:rPr>
        <w:t>.</w:t>
      </w:r>
      <w:r w:rsidR="0072461E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Cf. </w:t>
      </w:r>
      <w:proofErr w:type="spellStart"/>
      <w:r w:rsidR="006C2498" w:rsidRPr="00A35870">
        <w:rPr>
          <w:i/>
          <w:iCs/>
          <w:color w:val="000000" w:themeColor="text1"/>
        </w:rPr>
        <w:t>Gv</w:t>
      </w:r>
      <w:proofErr w:type="spellEnd"/>
      <w:r w:rsidR="006C2498" w:rsidRPr="00A35870">
        <w:rPr>
          <w:i/>
          <w:iCs/>
          <w:color w:val="000000" w:themeColor="text1"/>
        </w:rPr>
        <w:t xml:space="preserve"> 10,27-30</w:t>
      </w:r>
    </w:p>
    <w:p w14:paraId="59D3C877" w14:textId="70638C74" w:rsidR="006C2498" w:rsidRPr="00A35870" w:rsidRDefault="006C2498" w:rsidP="00B50E95">
      <w:pPr>
        <w:pStyle w:val="Nessunaspaziatura"/>
        <w:jc w:val="both"/>
        <w:rPr>
          <w:rFonts w:ascii="Calibri" w:hAnsi="Calibri" w:cs="Calibri"/>
          <w:i w:val="0"/>
          <w:iCs w:val="0"/>
          <w:sz w:val="22"/>
          <w:szCs w:val="22"/>
        </w:rPr>
      </w:pPr>
    </w:p>
    <w:p w14:paraId="24388895" w14:textId="2E3CA27C" w:rsidR="0036301A" w:rsidRPr="0072461E" w:rsidRDefault="00D418F4" w:rsidP="00424FEC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>Come pecor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e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con il 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loro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pastore: ecco la vita de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i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discepol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i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. 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>L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e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pecor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e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ascolta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no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, conosc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ono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 segu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ono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il pastore: così i discepol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i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con il Signore Gesù</w:t>
      </w:r>
      <w:r w:rsidR="00A35870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 c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>osì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il 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nostro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cammino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. La parola 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del Signore 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>ci ha coinvolti e ci siamo avvicinati a lui, scoprendo la sua attenzione, la sua amorevolezza, la sua credibilità: abbiamo cominciato a seguirlo e ogni giorno ci la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>s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ciamo 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ancora 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coinvolgere 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>da lui</w:t>
      </w:r>
      <w:r w:rsidR="0036301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in una relazione carica di fiducia e vicinanza che dona la vita piena e al tempo stesso “fa la storia” (FT 116)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, ossia ci rende 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suoi </w:t>
      </w:r>
      <w:r w:rsidR="00424FEC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collaboratori </w:t>
      </w:r>
      <w:r w:rsidR="00CB2277" w:rsidRPr="0072461E">
        <w:rPr>
          <w:rFonts w:ascii="Calibri" w:hAnsi="Calibri" w:cs="Calibri"/>
          <w:i w:val="0"/>
          <w:iCs w:val="0"/>
          <w:sz w:val="21"/>
          <w:szCs w:val="21"/>
        </w:rPr>
        <w:t>nel far crescere l’unità e la comunione nel mondo.</w:t>
      </w:r>
    </w:p>
    <w:p w14:paraId="62DC40BB" w14:textId="36AC22EC" w:rsidR="00CB2277" w:rsidRPr="0072461E" w:rsidRDefault="00CB2277" w:rsidP="00424FEC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14:paraId="4B377955" w14:textId="3A2C157E" w:rsidR="00D30087" w:rsidRPr="0072461E" w:rsidRDefault="00CB2277" w:rsidP="00424FEC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Il nostro cammino è iniziato dall’ascolto e ogni giorno inizia da qui. </w:t>
      </w:r>
      <w:r w:rsidR="00F8238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La voce del Signore ci ha toccati e ci siamo lasciati coinvolgere in una relazione che ci ha permesso di conoscerlo e ci ha messi in cammino con lui. Ascoltare è necessario, lo sappiamo sin da bambini: ci permette di entrare in rapporto con gli altri, di capire, 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di creare relazioni, </w:t>
      </w:r>
      <w:r w:rsidR="00F82382" w:rsidRPr="0072461E">
        <w:rPr>
          <w:rFonts w:ascii="Calibri" w:hAnsi="Calibri" w:cs="Calibri"/>
          <w:i w:val="0"/>
          <w:iCs w:val="0"/>
          <w:sz w:val="21"/>
          <w:szCs w:val="21"/>
        </w:rPr>
        <w:t>di portare il nostro contributo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nel mondo</w:t>
      </w:r>
      <w:r w:rsidR="00F82382" w:rsidRPr="0072461E">
        <w:rPr>
          <w:rFonts w:ascii="Calibri" w:hAnsi="Calibri" w:cs="Calibri"/>
          <w:i w:val="0"/>
          <w:iCs w:val="0"/>
          <w:sz w:val="21"/>
          <w:szCs w:val="21"/>
        </w:rPr>
        <w:t>.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Così</w:t>
      </w:r>
      <w:r w:rsidR="00A35870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, sin dall’inizio, sappiamo insieme al popolo di Israele che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è necessario ascoltare ogni giorno per rimanere discepoli del Signore:</w:t>
      </w:r>
      <w:r w:rsidR="00731C0A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«Ascolta, Israele: il Signore è il nostro Dio, unico è il Signore. Tu amerai il Signore, tuo Dio, con tutto il cuore, con tutta l'anima e con tutte le forze» (</w:t>
      </w:r>
      <w:proofErr w:type="spellStart"/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Dt</w:t>
      </w:r>
      <w:proofErr w:type="spellEnd"/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6, 4-5). 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Ciò non significa che ne siamo sempre capaci: quante volte capiamo male o mettiamo sulle labbra </w:t>
      </w:r>
      <w:proofErr w:type="gramStart"/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>degli altri parole</w:t>
      </w:r>
      <w:proofErr w:type="gramEnd"/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che non hanno detto e abbiamo pensato noi. Ascoltare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chiede 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>di chiudere la nostra bocca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ma soprattutto di far tacere il chiacchiericcio interno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di essere sinceri con noi stessi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per 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accogliere 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nel cuore, con </w:t>
      </w:r>
      <w:r w:rsidR="004F7B48" w:rsidRPr="0072461E">
        <w:rPr>
          <w:rFonts w:ascii="Calibri" w:hAnsi="Calibri" w:cs="Calibri"/>
          <w:i w:val="0"/>
          <w:iCs w:val="0"/>
          <w:sz w:val="21"/>
          <w:szCs w:val="21"/>
        </w:rPr>
        <w:t>piena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disponibilità, 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>l</w:t>
      </w:r>
      <w:r w:rsidR="00B97602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e parole degli altri e </w:t>
      </w:r>
      <w:r w:rsidR="004F7B48" w:rsidRPr="0072461E">
        <w:rPr>
          <w:rFonts w:ascii="Calibri" w:hAnsi="Calibri" w:cs="Calibri"/>
          <w:i w:val="0"/>
          <w:iCs w:val="0"/>
          <w:sz w:val="21"/>
          <w:szCs w:val="21"/>
        </w:rPr>
        <w:t>di Dio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. Ogni giorno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>, al risveglio,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l’ascolto è 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accanto al nostro letto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a dirci che 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per vivere abbiamo bisogno della parola degli altri e di Dio, della loro attenzione, del loro amore, del loro volto: noi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non bastiamo a noi stessi</w:t>
      </w:r>
      <w:r w:rsidR="00A579C1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la vita piena viene 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dalle parole degli 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>altri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 di</w:t>
      </w:r>
      <w:r w:rsidR="00731C0A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Dio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che ci tolgono dall’isolamento.</w:t>
      </w:r>
    </w:p>
    <w:p w14:paraId="5ABDB231" w14:textId="77777777" w:rsidR="00D30087" w:rsidRPr="0072461E" w:rsidRDefault="00D30087" w:rsidP="00424FEC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14:paraId="33D8A511" w14:textId="268B6420" w:rsidR="00E75B9D" w:rsidRPr="0072461E" w:rsidRDefault="00A579C1" w:rsidP="00B50E95">
      <w:pPr>
        <w:pStyle w:val="Nessunaspaziatura"/>
        <w:jc w:val="both"/>
        <w:rPr>
          <w:rFonts w:ascii="Calibri" w:eastAsia="Times New Roman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Grazie all’ascolto nasce poi un rapporto, la conoscenza reciproca che diventa relazione. </w:t>
      </w:r>
      <w:r w:rsidR="007C6DB1" w:rsidRPr="0072461E">
        <w:rPr>
          <w:rFonts w:ascii="Calibri" w:hAnsi="Calibri" w:cs="Calibri"/>
          <w:i w:val="0"/>
          <w:iCs w:val="0"/>
          <w:sz w:val="21"/>
          <w:szCs w:val="21"/>
        </w:rPr>
        <w:t>C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osì è con gli altri</w:t>
      </w:r>
      <w:r w:rsidR="00D30087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con il Signore. </w:t>
      </w:r>
      <w:r w:rsidR="0062228B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>Conoscer</w:t>
      </w:r>
      <w:r w:rsidR="00D30087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lo </w:t>
      </w:r>
      <w:r w:rsidR="0062228B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significa avere familiarità con la sua persona, dargli tempo e spazio nella nostra vita, nei nostri pensieri, nei nostri affetti e così entrare in intimità con lui, diventare una cosa sola con lui, come lui </w:t>
      </w:r>
      <w:r w:rsidR="008D2243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>e</w:t>
      </w:r>
      <w:r w:rsidR="0062228B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 il Padre. Conoscere il Signore significa avere familiarità con il suo stile, con le sue scelte, con le sue prese di posizione, con il suo silenzio</w:t>
      </w:r>
      <w:r w:rsidR="00E75B9D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, fino a </w:t>
      </w:r>
      <w:r w:rsidR="0062228B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>chiamarlo per nome come lui chiama per nome ciascuno di noi.</w:t>
      </w:r>
      <w:r w:rsidR="00E75B9D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 Ed è anzitutto questo a farci discepoli: saperci conosciuti da lui.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>«Signore, tu mi scruti e mi conosci, tu conosci quando mi siedo e quando mi alzo, intendi da lontano i miei pensieri, osservi il mio cammino e il mio riposo, ti sono note tutte le mie vie.</w:t>
      </w:r>
      <w:r w:rsidR="00E75B9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La mia parola non è ancora sulla lingua ed ecco, Signore, già la conosci tutta. Alle spalle e di fronte mi circondi e poni su di me la tua mano» (Sal 138 1-5). </w:t>
      </w:r>
      <w:r w:rsidR="00E75B9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Tutto di noi è visto e conosciuto dal Signore ma solo il cuore che ascolta le sue parole </w:t>
      </w:r>
      <w:r w:rsidR="004F7B48" w:rsidRPr="0072461E">
        <w:rPr>
          <w:rFonts w:ascii="Calibri" w:hAnsi="Calibri" w:cs="Calibri"/>
          <w:i w:val="0"/>
          <w:iCs w:val="0"/>
          <w:sz w:val="21"/>
          <w:szCs w:val="21"/>
        </w:rPr>
        <w:t>sperimenta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questa</w:t>
      </w:r>
      <w:r w:rsidR="00E75B9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certezza che apre alla vita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.</w:t>
      </w:r>
    </w:p>
    <w:p w14:paraId="77782B5E" w14:textId="77777777" w:rsidR="00E75B9D" w:rsidRPr="0072461E" w:rsidRDefault="00E75B9D" w:rsidP="00B50E95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</w:p>
    <w:p w14:paraId="3AE655A9" w14:textId="26B58D02" w:rsidR="006C2498" w:rsidRPr="0072461E" w:rsidRDefault="00E75B9D" w:rsidP="00B50E95">
      <w:pPr>
        <w:pStyle w:val="Nessunaspaziatura"/>
        <w:jc w:val="both"/>
        <w:rPr>
          <w:rFonts w:ascii="Calibri" w:hAnsi="Calibri" w:cs="Calibri"/>
          <w:i w:val="0"/>
          <w:iCs w:val="0"/>
          <w:sz w:val="21"/>
          <w:szCs w:val="21"/>
        </w:rPr>
      </w:pP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Ed ecco che nasce il camminare con il Signore, il seguirlo </w:t>
      </w:r>
      <w:r w:rsidR="004F7B48" w:rsidRPr="0072461E">
        <w:rPr>
          <w:rFonts w:ascii="Calibri" w:hAnsi="Calibri" w:cs="Calibri"/>
          <w:i w:val="0"/>
          <w:iCs w:val="0"/>
          <w:sz w:val="21"/>
          <w:szCs w:val="21"/>
        </w:rPr>
        <w:t>ogni</w:t>
      </w:r>
      <w:r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giorno dentro casa, al lavoro, nelle piazze, nel mondo, nella storia o nella più segreta solitudine. La fiducia nel suo amore ci permette di seguirlo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, di lasciarci portare dove lui desidera e ritiene opportuno, facendoci andare </w:t>
      </w:r>
      <w:r w:rsidR="00E70CF8" w:rsidRPr="0072461E">
        <w:rPr>
          <w:rFonts w:ascii="Calibri" w:eastAsia="Times New Roman" w:hAnsi="Calibri" w:cs="Calibri"/>
          <w:i w:val="0"/>
          <w:iCs w:val="0"/>
          <w:sz w:val="21"/>
          <w:szCs w:val="21"/>
        </w:rPr>
        <w:t xml:space="preserve">anche là 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dove noi non 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>avremmo voluto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>, percorrere strade che noi non capiamo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>o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ci sembrano impossibili da percorrere. 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>Il Signore c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>i guida passando attraverso persone, esperienze della vita, cadute ma davanti a tutto questo noi non possiamo far altro che seguirlo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e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continuare ad ascoltare quella Parola che ci 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fa vivere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e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camminare. </w:t>
      </w:r>
      <w:r w:rsidR="00E70CF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Non va da sé questa disponibilità ad andare con lui. Chiede di 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rinunciare a </w:t>
      </w:r>
      <w:proofErr w:type="gramStart"/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>se</w:t>
      </w:r>
      <w:proofErr w:type="gramEnd"/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stessi per 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poter vivere solo di 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>l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ui. 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>Sembra un salto esageratamente difficile se non impossibile eppure sappiamo bene come il cuore non possa vivere due vite: non possiamo vivere la nostra vita e anche quella di Dio. Seguire il Signore significa dare credito a lui, lasciare che sia lui a farci vivere, smettere di guidare con orgoglio il nostro cammino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, la nostra 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vita</w:t>
      </w:r>
      <w:r w:rsidR="006C2498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, 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per lasciare tutto nelle sue mani come i 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dodici e le donne</w:t>
      </w:r>
      <w:r w:rsidR="00B60AFD" w:rsidRPr="0072461E">
        <w:rPr>
          <w:rFonts w:ascii="Calibri" w:hAnsi="Calibri" w:cs="Calibri"/>
          <w:i w:val="0"/>
          <w:iCs w:val="0"/>
          <w:sz w:val="21"/>
          <w:szCs w:val="21"/>
        </w:rPr>
        <w:t xml:space="preserve"> del Vangelo</w:t>
      </w:r>
      <w:r w:rsidR="008D2243" w:rsidRPr="0072461E">
        <w:rPr>
          <w:rFonts w:ascii="Calibri" w:hAnsi="Calibri" w:cs="Calibri"/>
          <w:i w:val="0"/>
          <w:iCs w:val="0"/>
          <w:sz w:val="21"/>
          <w:szCs w:val="21"/>
        </w:rPr>
        <w:t>.</w:t>
      </w:r>
    </w:p>
    <w:p w14:paraId="2BB37CEF" w14:textId="77777777" w:rsidR="00051C9D" w:rsidRPr="0072461E" w:rsidRDefault="00051C9D" w:rsidP="00051C9D">
      <w:pPr>
        <w:adjustRightInd w:val="0"/>
        <w:snapToGrid w:val="0"/>
        <w:spacing w:after="0" w:line="240" w:lineRule="auto"/>
        <w:jc w:val="both"/>
        <w:rPr>
          <w:color w:val="000000" w:themeColor="text1"/>
          <w:sz w:val="21"/>
          <w:szCs w:val="21"/>
        </w:rPr>
      </w:pPr>
    </w:p>
    <w:p w14:paraId="5F0DEA56" w14:textId="5F937C3C" w:rsidR="004F7B48" w:rsidRPr="0072461E" w:rsidRDefault="00051C9D" w:rsidP="00051C9D">
      <w:pPr>
        <w:adjustRightInd w:val="0"/>
        <w:snapToGrid w:val="0"/>
        <w:spacing w:after="0" w:line="240" w:lineRule="auto"/>
        <w:jc w:val="both"/>
        <w:rPr>
          <w:color w:val="000000" w:themeColor="text1"/>
          <w:sz w:val="21"/>
          <w:szCs w:val="21"/>
        </w:rPr>
      </w:pPr>
      <w:r w:rsidRPr="0072461E">
        <w:rPr>
          <w:color w:val="000000" w:themeColor="text1"/>
          <w:sz w:val="21"/>
          <w:szCs w:val="21"/>
        </w:rPr>
        <w:t xml:space="preserve">In questa domenica che ci vede pregare per le vocazioni, celebriamo il Signore per la nostra comune chiamata a “fare la storia” con lui ma raccogliamo anche i verbi “ascoltare”, “conoscere” e “seguire” per non smettere di essere discepoli e comunità che si prende cura dei giovani e del loro futuro. Il Signore conosce ogni giovane e </w:t>
      </w:r>
      <w:r w:rsidR="004F7B48" w:rsidRPr="0072461E">
        <w:rPr>
          <w:color w:val="000000" w:themeColor="text1"/>
          <w:sz w:val="21"/>
          <w:szCs w:val="21"/>
        </w:rPr>
        <w:t xml:space="preserve">li </w:t>
      </w:r>
      <w:r w:rsidRPr="0072461E">
        <w:rPr>
          <w:color w:val="000000" w:themeColor="text1"/>
          <w:sz w:val="21"/>
          <w:szCs w:val="21"/>
        </w:rPr>
        <w:t xml:space="preserve">chiama </w:t>
      </w:r>
      <w:r w:rsidR="00A35870" w:rsidRPr="0072461E">
        <w:rPr>
          <w:color w:val="000000" w:themeColor="text1"/>
          <w:sz w:val="21"/>
          <w:szCs w:val="21"/>
        </w:rPr>
        <w:t xml:space="preserve">tutti </w:t>
      </w:r>
      <w:r w:rsidRPr="0072461E">
        <w:rPr>
          <w:color w:val="000000" w:themeColor="text1"/>
          <w:sz w:val="21"/>
          <w:szCs w:val="21"/>
        </w:rPr>
        <w:t>a seguirlo ma come potrà avvenire l’intesa se nessuno li accompagn</w:t>
      </w:r>
      <w:r w:rsidR="004F7B48" w:rsidRPr="0072461E">
        <w:rPr>
          <w:color w:val="000000" w:themeColor="text1"/>
          <w:sz w:val="21"/>
          <w:szCs w:val="21"/>
        </w:rPr>
        <w:t>a</w:t>
      </w:r>
      <w:r w:rsidRPr="0072461E">
        <w:rPr>
          <w:color w:val="000000" w:themeColor="text1"/>
          <w:sz w:val="21"/>
          <w:szCs w:val="21"/>
        </w:rPr>
        <w:t xml:space="preserve"> n</w:t>
      </w:r>
      <w:r w:rsidR="00A35870" w:rsidRPr="0072461E">
        <w:rPr>
          <w:color w:val="000000" w:themeColor="text1"/>
          <w:sz w:val="21"/>
          <w:szCs w:val="21"/>
        </w:rPr>
        <w:t>ell’</w:t>
      </w:r>
      <w:r w:rsidRPr="0072461E">
        <w:rPr>
          <w:color w:val="000000" w:themeColor="text1"/>
          <w:sz w:val="21"/>
          <w:szCs w:val="21"/>
        </w:rPr>
        <w:t>ascolto</w:t>
      </w:r>
      <w:r w:rsidR="004F7B48" w:rsidRPr="0072461E">
        <w:rPr>
          <w:color w:val="000000" w:themeColor="text1"/>
          <w:sz w:val="21"/>
          <w:szCs w:val="21"/>
        </w:rPr>
        <w:t xml:space="preserve"> che solo apre ai passi successivi</w:t>
      </w:r>
      <w:r w:rsidRPr="0072461E">
        <w:rPr>
          <w:color w:val="000000" w:themeColor="text1"/>
          <w:sz w:val="21"/>
          <w:szCs w:val="21"/>
        </w:rPr>
        <w:t>?</w:t>
      </w:r>
    </w:p>
    <w:p w14:paraId="3811F026" w14:textId="2336C04B" w:rsidR="004C3206" w:rsidRDefault="004C3206" w:rsidP="00051C9D">
      <w:pPr>
        <w:adjustRightInd w:val="0"/>
        <w:snapToGrid w:val="0"/>
        <w:spacing w:after="0" w:line="240" w:lineRule="auto"/>
        <w:jc w:val="both"/>
        <w:rPr>
          <w:color w:val="000000" w:themeColor="text1"/>
        </w:rPr>
      </w:pPr>
    </w:p>
    <w:p w14:paraId="6F26241C" w14:textId="01C672FA" w:rsidR="00051C9D" w:rsidRPr="00A35870" w:rsidRDefault="004C3206" w:rsidP="0072461E">
      <w:pPr>
        <w:adjustRightInd w:val="0"/>
        <w:snapToGrid w:val="0"/>
        <w:spacing w:after="0" w:line="240" w:lineRule="auto"/>
        <w:jc w:val="right"/>
        <w:rPr>
          <w:color w:val="000000" w:themeColor="text1"/>
        </w:rPr>
      </w:pPr>
      <w:r w:rsidRPr="004C3206">
        <w:rPr>
          <w:i/>
          <w:iCs/>
          <w:color w:val="000000" w:themeColor="text1"/>
        </w:rPr>
        <w:t>A cura di don Silvano Trincanato</w:t>
      </w:r>
    </w:p>
    <w:sectPr w:rsidR="00051C9D" w:rsidRPr="00A35870" w:rsidSect="0072461E">
      <w:headerReference w:type="default" r:id="rId6"/>
      <w:pgSz w:w="11900" w:h="16840"/>
      <w:pgMar w:top="720" w:right="720" w:bottom="720" w:left="720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DBD7" w14:textId="77777777" w:rsidR="00767D13" w:rsidRDefault="00767D13" w:rsidP="0072461E">
      <w:pPr>
        <w:spacing w:after="0" w:line="240" w:lineRule="auto"/>
      </w:pPr>
      <w:r>
        <w:separator/>
      </w:r>
    </w:p>
  </w:endnote>
  <w:endnote w:type="continuationSeparator" w:id="0">
    <w:p w14:paraId="2DDF4412" w14:textId="77777777" w:rsidR="00767D13" w:rsidRDefault="00767D13" w:rsidP="0072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5DA7" w14:textId="77777777" w:rsidR="00767D13" w:rsidRDefault="00767D13" w:rsidP="0072461E">
      <w:pPr>
        <w:spacing w:after="0" w:line="240" w:lineRule="auto"/>
      </w:pPr>
      <w:r>
        <w:separator/>
      </w:r>
    </w:p>
  </w:footnote>
  <w:footnote w:type="continuationSeparator" w:id="0">
    <w:p w14:paraId="4374AEAF" w14:textId="77777777" w:rsidR="00767D13" w:rsidRDefault="00767D13" w:rsidP="0072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F34" w14:textId="558FCDE5" w:rsidR="0072461E" w:rsidRDefault="0072461E" w:rsidP="0072461E">
    <w:pPr>
      <w:pStyle w:val="Intestazione"/>
      <w:jc w:val="right"/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CFE683A" wp14:editId="285DA53B">
          <wp:simplePos x="0" y="0"/>
          <wp:positionH relativeFrom="column">
            <wp:posOffset>3175</wp:posOffset>
          </wp:positionH>
          <wp:positionV relativeFrom="paragraph">
            <wp:posOffset>160020</wp:posOffset>
          </wp:positionV>
          <wp:extent cx="1701800" cy="673100"/>
          <wp:effectExtent l="0" t="0" r="0" b="0"/>
          <wp:wrapSquare wrapText="bothSides"/>
          <wp:docPr id="20" name="Immagine 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1"/>
        <w:szCs w:val="21"/>
      </w:rPr>
      <w:drawing>
        <wp:inline distT="0" distB="0" distL="0" distR="0" wp14:anchorId="32366637" wp14:editId="08DA9EDD">
          <wp:extent cx="1893926" cy="135725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814" cy="137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98"/>
    <w:rsid w:val="00051C9D"/>
    <w:rsid w:val="000B51E1"/>
    <w:rsid w:val="000C2A2B"/>
    <w:rsid w:val="000F1C08"/>
    <w:rsid w:val="002A6838"/>
    <w:rsid w:val="0036301A"/>
    <w:rsid w:val="00366B6D"/>
    <w:rsid w:val="00372B91"/>
    <w:rsid w:val="003D4E4C"/>
    <w:rsid w:val="00424FEC"/>
    <w:rsid w:val="004C3206"/>
    <w:rsid w:val="004D4F47"/>
    <w:rsid w:val="004F7B48"/>
    <w:rsid w:val="005022EB"/>
    <w:rsid w:val="0062228B"/>
    <w:rsid w:val="006620E9"/>
    <w:rsid w:val="006C2498"/>
    <w:rsid w:val="006F5109"/>
    <w:rsid w:val="0072461E"/>
    <w:rsid w:val="00731C0A"/>
    <w:rsid w:val="00767D13"/>
    <w:rsid w:val="00773F59"/>
    <w:rsid w:val="007A74F7"/>
    <w:rsid w:val="007C6DB1"/>
    <w:rsid w:val="007D2E36"/>
    <w:rsid w:val="008260BC"/>
    <w:rsid w:val="008B0FB6"/>
    <w:rsid w:val="008C07DE"/>
    <w:rsid w:val="008D2243"/>
    <w:rsid w:val="008E73E9"/>
    <w:rsid w:val="00934318"/>
    <w:rsid w:val="009722AA"/>
    <w:rsid w:val="00A27914"/>
    <w:rsid w:val="00A35870"/>
    <w:rsid w:val="00A579C1"/>
    <w:rsid w:val="00A8497E"/>
    <w:rsid w:val="00B50E95"/>
    <w:rsid w:val="00B60AFD"/>
    <w:rsid w:val="00B96423"/>
    <w:rsid w:val="00B97602"/>
    <w:rsid w:val="00BB3CAA"/>
    <w:rsid w:val="00CB2277"/>
    <w:rsid w:val="00D057E2"/>
    <w:rsid w:val="00D30087"/>
    <w:rsid w:val="00D418F4"/>
    <w:rsid w:val="00DF186D"/>
    <w:rsid w:val="00E70CF8"/>
    <w:rsid w:val="00E75B9D"/>
    <w:rsid w:val="00F30A54"/>
    <w:rsid w:val="00F63E57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CD79"/>
  <w15:chartTrackingRefBased/>
  <w15:docId w15:val="{25D5EC39-E1AE-1342-9E7F-146C1F36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C2498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56C4A" w:themeColor="accent2" w:themeShade="7F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07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5EC795" w:themeColor="accen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07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07DE"/>
    <w:pPr>
      <w:spacing w:after="0" w:line="240" w:lineRule="auto"/>
    </w:pPr>
    <w:rPr>
      <w:rFonts w:asciiTheme="minorHAnsi" w:eastAsiaTheme="minorHAnsi" w:hAnsiTheme="minorHAnsi" w:cstheme="minorBidi"/>
      <w:b/>
      <w:bCs/>
      <w:i/>
      <w:iCs/>
      <w:color w:val="38A26F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07DE"/>
    <w:pPr>
      <w:pBdr>
        <w:bottom w:val="dotted" w:sz="8" w:space="10" w:color="5EC79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8C07DE"/>
    <w:rPr>
      <w:b/>
      <w:bCs/>
      <w:spacing w:val="0"/>
    </w:rPr>
  </w:style>
  <w:style w:type="character" w:styleId="Enfasicorsivo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essunaspaziatura">
    <w:name w:val="No Spacing"/>
    <w:basedOn w:val="Normale"/>
    <w:uiPriority w:val="1"/>
    <w:qFormat/>
    <w:rsid w:val="008C07DE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C07D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07DE"/>
    <w:pPr>
      <w:spacing w:after="0" w:line="240" w:lineRule="auto"/>
    </w:pPr>
    <w:rPr>
      <w:rFonts w:asciiTheme="minorHAnsi" w:eastAsiaTheme="minorHAnsi" w:hAnsiTheme="minorHAnsi" w:cstheme="minorBidi"/>
      <w:color w:val="38A26F" w:themeColor="accent2" w:themeShade="BF"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07DE"/>
    <w:rPr>
      <w:color w:val="38A26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Enfasidelicata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Enfasiintensa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Riferimentodelicato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Riferimentointenso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Titolodellibro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07DE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6C2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61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6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Elena Fiorenzato</cp:lastModifiedBy>
  <cp:revision>2</cp:revision>
  <dcterms:created xsi:type="dcterms:W3CDTF">2022-04-22T16:01:00Z</dcterms:created>
  <dcterms:modified xsi:type="dcterms:W3CDTF">2022-04-22T16:01:00Z</dcterms:modified>
</cp:coreProperties>
</file>